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jc w:val="center"/>
        <w:rPr/>
      </w:pPr>
      <w:bookmarkStart w:colFirst="0" w:colLast="0" w:name="_qsakyolc69n" w:id="0"/>
      <w:bookmarkEnd w:id="0"/>
      <w:r w:rsidDel="00000000" w:rsidR="00000000" w:rsidRPr="00000000">
        <w:rPr>
          <w:rtl w:val="0"/>
        </w:rPr>
        <w:t xml:space="preserve">SurfaceBox [55]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mvy4e4gv4v9e" w:id="1"/>
      <w:bookmarkEnd w:id="1"/>
      <w:r w:rsidDel="00000000" w:rsidR="00000000" w:rsidRPr="00000000">
        <w:rPr>
          <w:rtl w:val="0"/>
        </w:rPr>
        <w:t xml:space="preserve">Surface mounting box for one LightSwitch or Outlet device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9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5985"/>
        <w:tblGridChange w:id="0">
          <w:tblGrid>
            <w:gridCol w:w="5985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d7z6sy8r1xfh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Compatibility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LightSwitch devices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(1-gang)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(2-gang)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(2-way)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(2-gang/2-way)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(Crossover)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LightSwitch (Dimmer)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Outlet devices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Outlet [type E]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Outlet [type F] Jeweller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Outlet (basic) [type 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Outlet (basic) [type F]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3"/>
              <w:widowControl w:val="0"/>
              <w:rPr>
                <w:rFonts w:ascii="Roboto" w:cs="Roboto" w:eastAsia="Roboto" w:hAnsi="Roboto"/>
                <w:sz w:val="22"/>
                <w:szCs w:val="22"/>
              </w:rPr>
            </w:pPr>
            <w:bookmarkStart w:colFirst="0" w:colLast="0" w:name="_xrvlirb4gfmy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rtl w:val="0"/>
              </w:rPr>
              <w:t xml:space="preserve">RAL 9003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jgv7podf6xr3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Key 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Color and shape matching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The SurfaceBox [55] shape smoothly aligns with the LightSwitch touch-sensitive panel and Outlet cover.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Easy installation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Various fixing points to mount SurfaceBox [55] on any surface.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Cable routing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Dedicated spots to route the wires in SurfaceBox [55] from the back or side.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Form factor of the LightSwitch or Outlet device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European type (55)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npatmwohn6kh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Recommendations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is designed for indoor use only. A professional electrician should install the device.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a9oahf5a7xoq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82.6 × 82.6 × 46.8 mm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3.25" × 3.25" × 1.84"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63.5 g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2.24 oz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polycarbonate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–10 °C to +40 °C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14 °F to 104 °F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75% with no condensation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3"/>
              <w:widowControl w:val="0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9lqx0u6cr62a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SurfaceBox [55]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 screws for LightSwitch or Outlet device mounting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